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4A70" w14:textId="6CD99C59" w:rsidR="00414A24" w:rsidRDefault="00270995" w:rsidP="00226902">
      <w:pPr>
        <w:jc w:val="center"/>
        <w:rPr>
          <w:b/>
          <w:bCs/>
          <w:sz w:val="24"/>
          <w:szCs w:val="24"/>
          <w:lang w:bidi="ar-IQ"/>
        </w:rPr>
      </w:pPr>
      <w:r w:rsidRPr="00270995">
        <w:rPr>
          <w:b/>
          <w:bCs/>
          <w:sz w:val="24"/>
          <w:szCs w:val="24"/>
          <w:lang w:bidi="ar-IQ"/>
        </w:rPr>
        <w:t>E</w:t>
      </w:r>
      <w:r w:rsidR="0032198B">
        <w:rPr>
          <w:b/>
          <w:bCs/>
          <w:sz w:val="24"/>
          <w:szCs w:val="24"/>
          <w:lang w:bidi="ar-IQ"/>
        </w:rPr>
        <w:t>S4</w:t>
      </w:r>
    </w:p>
    <w:p w14:paraId="3CF4A62A" w14:textId="77777777" w:rsidR="0032198B" w:rsidRDefault="0032198B" w:rsidP="00226902">
      <w:pPr>
        <w:jc w:val="center"/>
        <w:rPr>
          <w:b/>
          <w:bCs/>
          <w:sz w:val="24"/>
          <w:szCs w:val="24"/>
          <w:lang w:bidi="ar-IQ"/>
        </w:rPr>
      </w:pPr>
    </w:p>
    <w:p w14:paraId="1AC8D30B" w14:textId="77777777" w:rsidR="0032198B" w:rsidRDefault="0032198B" w:rsidP="00226902">
      <w:pPr>
        <w:jc w:val="center"/>
        <w:rPr>
          <w:b/>
          <w:bCs/>
          <w:sz w:val="24"/>
          <w:szCs w:val="24"/>
          <w:lang w:bidi="ar-IQ"/>
        </w:rPr>
      </w:pP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6373"/>
      </w:tblGrid>
      <w:tr w:rsidR="0032198B" w14:paraId="6E54C54C" w14:textId="77777777" w:rsidTr="00463CDD">
        <w:trPr>
          <w:trHeight w:val="305"/>
          <w:jc w:val="center"/>
        </w:trPr>
        <w:tc>
          <w:tcPr>
            <w:tcW w:w="1138" w:type="dxa"/>
            <w:vMerge w:val="restart"/>
            <w:shd w:val="clear" w:color="auto" w:fill="8DD873" w:themeFill="accent6" w:themeFillTint="99"/>
            <w:textDirection w:val="tbRl"/>
          </w:tcPr>
          <w:p w14:paraId="6C56D23F" w14:textId="40213EFE" w:rsidR="0032198B" w:rsidRDefault="0032198B"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7F5E27C5" w14:textId="6840994F" w:rsidR="0032198B" w:rsidRDefault="0032198B" w:rsidP="0032198B">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5A28B62A" w14:textId="72A3763B" w:rsidR="0032198B" w:rsidRPr="00270995" w:rsidRDefault="0032198B" w:rsidP="00DD72E5">
            <w:pPr>
              <w:jc w:val="center"/>
              <w:rPr>
                <w:b/>
                <w:bCs/>
                <w:sz w:val="24"/>
                <w:szCs w:val="24"/>
                <w:lang w:bidi="ar-IQ"/>
              </w:rPr>
            </w:pPr>
            <w:r>
              <w:rPr>
                <w:b/>
                <w:bCs/>
                <w:sz w:val="24"/>
                <w:szCs w:val="24"/>
                <w:lang w:bidi="ar-IQ"/>
              </w:rPr>
              <w:t>ES4</w:t>
            </w:r>
          </w:p>
          <w:p w14:paraId="66E13E00" w14:textId="77777777" w:rsidR="0032198B" w:rsidRDefault="0032198B" w:rsidP="00DD72E5">
            <w:pPr>
              <w:pStyle w:val="TableParagraph"/>
              <w:spacing w:before="16" w:line="264" w:lineRule="exact"/>
              <w:ind w:right="93"/>
              <w:jc w:val="center"/>
              <w:rPr>
                <w:b/>
              </w:rPr>
            </w:pPr>
          </w:p>
        </w:tc>
        <w:tc>
          <w:tcPr>
            <w:tcW w:w="6373" w:type="dxa"/>
            <w:vMerge w:val="restart"/>
            <w:vAlign w:val="center"/>
          </w:tcPr>
          <w:p w14:paraId="6A14708C" w14:textId="6955E193" w:rsidR="0032198B" w:rsidRPr="00270995" w:rsidRDefault="00DA6B3F" w:rsidP="0032198B">
            <w:pPr>
              <w:pStyle w:val="TableParagraph"/>
              <w:spacing w:before="30"/>
              <w:ind w:left="108"/>
              <w:jc w:val="center"/>
              <w:rPr>
                <w:sz w:val="20"/>
                <w:rtl/>
                <w:lang w:bidi="ar-IQ"/>
              </w:rPr>
            </w:pPr>
            <w:r w:rsidRPr="00DA6B3F">
              <w:rPr>
                <w:sz w:val="20"/>
              </w:rPr>
              <w:t>Link to your institution’s sustainable investment policy</w:t>
            </w:r>
            <w:r w:rsidR="0032198B" w:rsidRPr="0032198B">
              <w:rPr>
                <w:sz w:val="20"/>
              </w:rPr>
              <w:t>.</w:t>
            </w:r>
          </w:p>
        </w:tc>
      </w:tr>
      <w:tr w:rsidR="0032198B" w14:paraId="700476EC" w14:textId="77777777" w:rsidTr="00463CDD">
        <w:trPr>
          <w:trHeight w:val="384"/>
          <w:jc w:val="center"/>
        </w:trPr>
        <w:tc>
          <w:tcPr>
            <w:tcW w:w="1138" w:type="dxa"/>
            <w:vMerge/>
            <w:shd w:val="clear" w:color="auto" w:fill="8DD873" w:themeFill="accent6" w:themeFillTint="99"/>
            <w:textDirection w:val="tbRl"/>
          </w:tcPr>
          <w:p w14:paraId="4521F00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4201A996" w14:textId="77777777" w:rsidR="0032198B" w:rsidRDefault="0032198B" w:rsidP="00DD72E5">
            <w:pPr>
              <w:pStyle w:val="TableParagraph"/>
              <w:ind w:left="124"/>
              <w:rPr>
                <w:b/>
              </w:rPr>
            </w:pPr>
          </w:p>
        </w:tc>
        <w:tc>
          <w:tcPr>
            <w:tcW w:w="857" w:type="dxa"/>
            <w:vMerge/>
            <w:shd w:val="clear" w:color="auto" w:fill="D9F2D0" w:themeFill="accent6" w:themeFillTint="33"/>
          </w:tcPr>
          <w:p w14:paraId="54D3BB0E" w14:textId="77777777" w:rsidR="0032198B" w:rsidRDefault="0032198B" w:rsidP="00DD72E5">
            <w:pPr>
              <w:pStyle w:val="TableParagraph"/>
              <w:spacing w:before="16" w:line="264" w:lineRule="exact"/>
              <w:ind w:right="93"/>
              <w:jc w:val="center"/>
              <w:rPr>
                <w:b/>
              </w:rPr>
            </w:pPr>
          </w:p>
        </w:tc>
        <w:tc>
          <w:tcPr>
            <w:tcW w:w="6373" w:type="dxa"/>
            <w:vMerge/>
            <w:vAlign w:val="center"/>
          </w:tcPr>
          <w:p w14:paraId="59BBE093" w14:textId="77777777" w:rsidR="0032198B" w:rsidRDefault="0032198B" w:rsidP="00DD72E5">
            <w:pPr>
              <w:pStyle w:val="TableParagraph"/>
              <w:spacing w:before="30"/>
              <w:ind w:left="108"/>
              <w:jc w:val="center"/>
              <w:rPr>
                <w:sz w:val="20"/>
              </w:rPr>
            </w:pPr>
          </w:p>
        </w:tc>
      </w:tr>
      <w:tr w:rsidR="0032198B" w14:paraId="6A8512F1" w14:textId="77777777" w:rsidTr="00463CDD">
        <w:trPr>
          <w:trHeight w:val="384"/>
          <w:jc w:val="center"/>
        </w:trPr>
        <w:tc>
          <w:tcPr>
            <w:tcW w:w="1138" w:type="dxa"/>
            <w:vMerge/>
            <w:shd w:val="clear" w:color="auto" w:fill="8DD873" w:themeFill="accent6" w:themeFillTint="99"/>
            <w:textDirection w:val="tbRl"/>
          </w:tcPr>
          <w:p w14:paraId="7653299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F6EF7B1" w14:textId="77777777" w:rsidR="0032198B" w:rsidRDefault="0032198B" w:rsidP="00DD72E5">
            <w:pPr>
              <w:pStyle w:val="TableParagraph"/>
              <w:ind w:left="0"/>
              <w:rPr>
                <w:b/>
              </w:rPr>
            </w:pPr>
          </w:p>
        </w:tc>
        <w:tc>
          <w:tcPr>
            <w:tcW w:w="857" w:type="dxa"/>
            <w:vMerge/>
            <w:shd w:val="clear" w:color="auto" w:fill="D9F2D0" w:themeFill="accent6" w:themeFillTint="33"/>
          </w:tcPr>
          <w:p w14:paraId="0F2134EB" w14:textId="77777777" w:rsidR="0032198B" w:rsidRDefault="0032198B" w:rsidP="00DD72E5">
            <w:pPr>
              <w:pStyle w:val="TableParagraph"/>
              <w:spacing w:before="16" w:line="264" w:lineRule="exact"/>
              <w:ind w:right="93"/>
              <w:jc w:val="center"/>
              <w:rPr>
                <w:b/>
              </w:rPr>
            </w:pPr>
          </w:p>
        </w:tc>
        <w:tc>
          <w:tcPr>
            <w:tcW w:w="6373" w:type="dxa"/>
            <w:vMerge/>
            <w:vAlign w:val="center"/>
          </w:tcPr>
          <w:p w14:paraId="07F7D957" w14:textId="77777777" w:rsidR="0032198B" w:rsidRPr="00270995" w:rsidRDefault="0032198B" w:rsidP="00DD72E5">
            <w:pPr>
              <w:pStyle w:val="TableParagraph"/>
              <w:spacing w:before="30"/>
              <w:ind w:left="108"/>
              <w:jc w:val="center"/>
              <w:rPr>
                <w:sz w:val="20"/>
              </w:rPr>
            </w:pPr>
          </w:p>
        </w:tc>
      </w:tr>
      <w:tr w:rsidR="0032198B" w14:paraId="0AA9B5AD" w14:textId="77777777" w:rsidTr="00463CDD">
        <w:trPr>
          <w:trHeight w:val="384"/>
          <w:jc w:val="center"/>
        </w:trPr>
        <w:tc>
          <w:tcPr>
            <w:tcW w:w="1138" w:type="dxa"/>
            <w:vMerge/>
            <w:shd w:val="clear" w:color="auto" w:fill="8DD873" w:themeFill="accent6" w:themeFillTint="99"/>
            <w:textDirection w:val="tbRl"/>
          </w:tcPr>
          <w:p w14:paraId="0E34AA3B"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15734485" w14:textId="77777777" w:rsidR="0032198B" w:rsidRDefault="0032198B" w:rsidP="00DD72E5">
            <w:pPr>
              <w:pStyle w:val="TableParagraph"/>
              <w:ind w:left="0"/>
              <w:rPr>
                <w:b/>
              </w:rPr>
            </w:pPr>
          </w:p>
        </w:tc>
        <w:tc>
          <w:tcPr>
            <w:tcW w:w="857" w:type="dxa"/>
            <w:vMerge/>
            <w:shd w:val="clear" w:color="auto" w:fill="D9F2D0" w:themeFill="accent6" w:themeFillTint="33"/>
          </w:tcPr>
          <w:p w14:paraId="021866CE" w14:textId="77777777" w:rsidR="0032198B" w:rsidRDefault="0032198B" w:rsidP="00DD72E5">
            <w:pPr>
              <w:pStyle w:val="TableParagraph"/>
              <w:spacing w:before="16" w:line="264" w:lineRule="exact"/>
              <w:ind w:right="93"/>
              <w:jc w:val="center"/>
              <w:rPr>
                <w:b/>
              </w:rPr>
            </w:pPr>
          </w:p>
        </w:tc>
        <w:tc>
          <w:tcPr>
            <w:tcW w:w="6373" w:type="dxa"/>
            <w:vMerge/>
            <w:vAlign w:val="center"/>
          </w:tcPr>
          <w:p w14:paraId="7D2CA10F" w14:textId="77777777" w:rsidR="0032198B" w:rsidRPr="00270995" w:rsidRDefault="0032198B" w:rsidP="00DD72E5">
            <w:pPr>
              <w:pStyle w:val="TableParagraph"/>
              <w:spacing w:before="30"/>
              <w:ind w:left="108"/>
              <w:jc w:val="center"/>
              <w:rPr>
                <w:sz w:val="20"/>
              </w:rPr>
            </w:pPr>
          </w:p>
        </w:tc>
      </w:tr>
      <w:tr w:rsidR="0032198B" w14:paraId="42C74070" w14:textId="77777777" w:rsidTr="00463CDD">
        <w:trPr>
          <w:trHeight w:val="384"/>
          <w:jc w:val="center"/>
        </w:trPr>
        <w:tc>
          <w:tcPr>
            <w:tcW w:w="1138" w:type="dxa"/>
            <w:vMerge/>
            <w:shd w:val="clear" w:color="auto" w:fill="8DD873" w:themeFill="accent6" w:themeFillTint="99"/>
            <w:textDirection w:val="tbRl"/>
          </w:tcPr>
          <w:p w14:paraId="2BAB575C"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7433006" w14:textId="77777777" w:rsidR="0032198B" w:rsidRDefault="0032198B" w:rsidP="00DD72E5">
            <w:pPr>
              <w:pStyle w:val="TableParagraph"/>
              <w:ind w:left="0"/>
              <w:rPr>
                <w:b/>
              </w:rPr>
            </w:pPr>
          </w:p>
        </w:tc>
        <w:tc>
          <w:tcPr>
            <w:tcW w:w="857" w:type="dxa"/>
            <w:vMerge/>
            <w:shd w:val="clear" w:color="auto" w:fill="D9F2D0" w:themeFill="accent6" w:themeFillTint="33"/>
          </w:tcPr>
          <w:p w14:paraId="17963A96" w14:textId="77777777" w:rsidR="0032198B" w:rsidRDefault="0032198B" w:rsidP="00DD72E5">
            <w:pPr>
              <w:pStyle w:val="TableParagraph"/>
              <w:spacing w:before="16" w:line="264" w:lineRule="exact"/>
              <w:ind w:right="93"/>
              <w:jc w:val="center"/>
              <w:rPr>
                <w:b/>
              </w:rPr>
            </w:pPr>
          </w:p>
        </w:tc>
        <w:tc>
          <w:tcPr>
            <w:tcW w:w="6373" w:type="dxa"/>
            <w:vMerge/>
            <w:vAlign w:val="center"/>
          </w:tcPr>
          <w:p w14:paraId="79524F40" w14:textId="77777777" w:rsidR="0032198B" w:rsidRPr="00270995" w:rsidRDefault="0032198B" w:rsidP="00DD72E5">
            <w:pPr>
              <w:pStyle w:val="TableParagraph"/>
              <w:spacing w:before="30"/>
              <w:ind w:left="108"/>
              <w:jc w:val="center"/>
              <w:rPr>
                <w:sz w:val="20"/>
              </w:rPr>
            </w:pPr>
          </w:p>
        </w:tc>
      </w:tr>
    </w:tbl>
    <w:p w14:paraId="4CC2E84E" w14:textId="77777777" w:rsidR="0032198B" w:rsidRPr="00270995" w:rsidRDefault="0032198B" w:rsidP="0032198B">
      <w:pPr>
        <w:rPr>
          <w:b/>
          <w:bCs/>
          <w:sz w:val="24"/>
          <w:szCs w:val="24"/>
          <w:lang w:bidi="ar-IQ"/>
        </w:rPr>
      </w:pPr>
    </w:p>
    <w:p w14:paraId="2CC30758" w14:textId="77777777" w:rsidR="00270995" w:rsidRDefault="00270995" w:rsidP="00270995">
      <w:pPr>
        <w:rPr>
          <w:lang w:bidi="ar-IQ"/>
        </w:rPr>
      </w:pPr>
    </w:p>
    <w:p w14:paraId="64201F51" w14:textId="77777777" w:rsidR="00E160E0" w:rsidRDefault="00E160E0" w:rsidP="00270995">
      <w:pPr>
        <w:rPr>
          <w:lang w:bidi="ar-IQ"/>
        </w:rPr>
      </w:pPr>
    </w:p>
    <w:p w14:paraId="1EB1986B" w14:textId="77777777" w:rsidR="00E160E0" w:rsidRDefault="00E160E0" w:rsidP="00270995">
      <w:pPr>
        <w:rPr>
          <w:lang w:bidi="ar-IQ"/>
        </w:rPr>
      </w:pPr>
    </w:p>
    <w:p w14:paraId="2EBEF6D0" w14:textId="71889BF4" w:rsidR="00E160E0" w:rsidRDefault="00E160E0" w:rsidP="0032198B">
      <w:pPr>
        <w:jc w:val="center"/>
        <w:rPr>
          <w:lang w:bidi="ar-IQ"/>
        </w:rPr>
      </w:pPr>
      <w:r w:rsidRPr="00270995">
        <w:rPr>
          <w:b/>
          <w:bCs/>
          <w:sz w:val="24"/>
          <w:szCs w:val="24"/>
          <w:lang w:bidi="ar-IQ"/>
        </w:rPr>
        <w:t>E</w:t>
      </w:r>
      <w:r w:rsidR="0032198B">
        <w:rPr>
          <w:b/>
          <w:bCs/>
          <w:sz w:val="24"/>
          <w:szCs w:val="24"/>
          <w:lang w:bidi="ar-IQ"/>
        </w:rPr>
        <w:t xml:space="preserve">S4 </w:t>
      </w:r>
      <w:r w:rsidR="00DA6B3F" w:rsidRPr="00DA6B3F">
        <w:rPr>
          <w:b/>
          <w:bCs/>
          <w:sz w:val="24"/>
          <w:szCs w:val="24"/>
          <w:lang w:bidi="ar-IQ"/>
        </w:rPr>
        <w:t>Link to your institution’s sustainable investment policy</w:t>
      </w:r>
    </w:p>
    <w:p w14:paraId="64E0E3DD" w14:textId="77777777" w:rsidR="00463CDD" w:rsidRDefault="00463CDD" w:rsidP="0032198B">
      <w:pPr>
        <w:jc w:val="center"/>
        <w:rPr>
          <w:lang w:bidi="ar-IQ"/>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11465"/>
      </w:tblGrid>
      <w:tr w:rsidR="00B6001E" w14:paraId="3ADB1EBA" w14:textId="77777777" w:rsidTr="000D612F">
        <w:trPr>
          <w:trHeight w:val="305"/>
          <w:jc w:val="center"/>
        </w:trPr>
        <w:tc>
          <w:tcPr>
            <w:tcW w:w="1138" w:type="dxa"/>
            <w:vMerge w:val="restart"/>
            <w:shd w:val="clear" w:color="auto" w:fill="8DD873" w:themeFill="accent6" w:themeFillTint="99"/>
            <w:textDirection w:val="tbRl"/>
          </w:tcPr>
          <w:p w14:paraId="256D1931" w14:textId="77777777" w:rsidR="00B6001E" w:rsidRDefault="00B6001E" w:rsidP="00B6001E">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656C3D1F" w14:textId="77777777" w:rsidR="00B6001E" w:rsidRDefault="00B6001E" w:rsidP="00B6001E">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0471C3AE" w14:textId="77777777" w:rsidR="00B6001E" w:rsidRPr="00270995" w:rsidRDefault="00B6001E" w:rsidP="00B6001E">
            <w:pPr>
              <w:jc w:val="center"/>
              <w:rPr>
                <w:b/>
                <w:bCs/>
                <w:sz w:val="24"/>
                <w:szCs w:val="24"/>
                <w:lang w:bidi="ar-IQ"/>
              </w:rPr>
            </w:pPr>
            <w:r>
              <w:rPr>
                <w:b/>
                <w:bCs/>
                <w:sz w:val="24"/>
                <w:szCs w:val="24"/>
                <w:lang w:bidi="ar-IQ"/>
              </w:rPr>
              <w:t>ES4</w:t>
            </w:r>
          </w:p>
          <w:p w14:paraId="1B6C8F87" w14:textId="77777777" w:rsidR="00B6001E" w:rsidRDefault="00B6001E" w:rsidP="00B6001E">
            <w:pPr>
              <w:pStyle w:val="TableParagraph"/>
              <w:spacing w:before="16" w:line="264" w:lineRule="exact"/>
              <w:ind w:right="93"/>
              <w:jc w:val="center"/>
              <w:rPr>
                <w:b/>
              </w:rPr>
            </w:pPr>
          </w:p>
        </w:tc>
        <w:tc>
          <w:tcPr>
            <w:tcW w:w="11465" w:type="dxa"/>
            <w:vMerge w:val="restart"/>
            <w:vAlign w:val="center"/>
          </w:tcPr>
          <w:p w14:paraId="46AB4C33" w14:textId="77777777" w:rsidR="00A51CDD" w:rsidRPr="00A51CDD" w:rsidRDefault="00A51CDD" w:rsidP="00A51CDD">
            <w:pPr>
              <w:pStyle w:val="TableParagraph"/>
              <w:rPr>
                <w:b/>
                <w:bCs/>
                <w:sz w:val="24"/>
                <w:szCs w:val="28"/>
                <w:lang w:bidi="ar-IQ"/>
              </w:rPr>
            </w:pPr>
            <w:r w:rsidRPr="00A51CDD">
              <w:rPr>
                <w:b/>
                <w:bCs/>
                <w:sz w:val="24"/>
                <w:szCs w:val="28"/>
                <w:lang w:bidi="ar-IQ"/>
              </w:rPr>
              <w:t>Sustainable Investment Policy at the College of Computer Sciences and Information Technology at Wasit University</w:t>
            </w:r>
          </w:p>
          <w:p w14:paraId="2ECAF30E" w14:textId="34970816" w:rsidR="00B6001E" w:rsidRPr="00B6001E" w:rsidRDefault="00A51CDD" w:rsidP="00A51CDD">
            <w:pPr>
              <w:pStyle w:val="TableParagraph"/>
              <w:spacing w:before="30"/>
              <w:ind w:left="108"/>
              <w:rPr>
                <w:sz w:val="20"/>
                <w:rtl/>
                <w:lang w:bidi="ar-IQ"/>
              </w:rPr>
            </w:pPr>
            <w:r w:rsidRPr="00A51CDD">
              <w:rPr>
                <w:b/>
                <w:bCs/>
                <w:sz w:val="24"/>
                <w:szCs w:val="28"/>
                <w:lang w:bidi="ar-IQ"/>
              </w:rPr>
              <w:t>Accordingly, the college’s procurement policy was adopted, which was used to achieve this. We explain here a number of facts and objectives that facilitate investment practices and achieve success in line with the sustainability goals of the College of Computer Science and Information Technology. This policy adheres to the laws of the Ministry of Investment and Finance Management in terms of providing guidance and guidance to assist investors who are thinking about imposing available opportunities, which helps in making an effective decision. This policy mainly preserves goals that have financial value in the long term as well as in the long term, with the possibility of maintaining the possibility of development according to the requirements of the capital market, which has a diverse composition. Considered a collaborative effort, it may be reviewed by the College of Information Sciences and Technology Council</w:t>
            </w:r>
            <w:r w:rsidR="00B6001E" w:rsidRPr="00B6001E">
              <w:rPr>
                <w:sz w:val="20"/>
                <w:lang w:bidi="ar-IQ"/>
              </w:rPr>
              <w:t>.</w:t>
            </w:r>
          </w:p>
        </w:tc>
      </w:tr>
      <w:tr w:rsidR="00B6001E" w14:paraId="3F623AC0" w14:textId="77777777" w:rsidTr="000D612F">
        <w:trPr>
          <w:trHeight w:val="384"/>
          <w:jc w:val="center"/>
        </w:trPr>
        <w:tc>
          <w:tcPr>
            <w:tcW w:w="1138" w:type="dxa"/>
            <w:vMerge/>
            <w:shd w:val="clear" w:color="auto" w:fill="8DD873" w:themeFill="accent6" w:themeFillTint="99"/>
            <w:textDirection w:val="tbRl"/>
          </w:tcPr>
          <w:p w14:paraId="033699B8"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60B3DAA5" w14:textId="77777777" w:rsidR="00B6001E" w:rsidRDefault="00B6001E" w:rsidP="00B6001E">
            <w:pPr>
              <w:pStyle w:val="TableParagraph"/>
              <w:ind w:left="124"/>
              <w:rPr>
                <w:b/>
              </w:rPr>
            </w:pPr>
          </w:p>
        </w:tc>
        <w:tc>
          <w:tcPr>
            <w:tcW w:w="857" w:type="dxa"/>
            <w:vMerge/>
            <w:shd w:val="clear" w:color="auto" w:fill="D9F2D0" w:themeFill="accent6" w:themeFillTint="33"/>
          </w:tcPr>
          <w:p w14:paraId="6ED7CBA0" w14:textId="77777777" w:rsidR="00B6001E" w:rsidRDefault="00B6001E" w:rsidP="00B6001E">
            <w:pPr>
              <w:pStyle w:val="TableParagraph"/>
              <w:spacing w:before="16" w:line="264" w:lineRule="exact"/>
              <w:ind w:right="93"/>
              <w:jc w:val="center"/>
              <w:rPr>
                <w:b/>
              </w:rPr>
            </w:pPr>
          </w:p>
        </w:tc>
        <w:tc>
          <w:tcPr>
            <w:tcW w:w="11465" w:type="dxa"/>
            <w:vMerge/>
            <w:vAlign w:val="center"/>
          </w:tcPr>
          <w:p w14:paraId="67ABA83E" w14:textId="77777777" w:rsidR="00B6001E" w:rsidRDefault="00B6001E" w:rsidP="00B6001E">
            <w:pPr>
              <w:pStyle w:val="TableParagraph"/>
              <w:spacing w:before="30"/>
              <w:ind w:left="108"/>
              <w:jc w:val="center"/>
              <w:rPr>
                <w:sz w:val="20"/>
              </w:rPr>
            </w:pPr>
          </w:p>
        </w:tc>
      </w:tr>
      <w:tr w:rsidR="00B6001E" w14:paraId="34BB8124" w14:textId="77777777" w:rsidTr="000D612F">
        <w:trPr>
          <w:trHeight w:val="384"/>
          <w:jc w:val="center"/>
        </w:trPr>
        <w:tc>
          <w:tcPr>
            <w:tcW w:w="1138" w:type="dxa"/>
            <w:vMerge/>
            <w:shd w:val="clear" w:color="auto" w:fill="8DD873" w:themeFill="accent6" w:themeFillTint="99"/>
            <w:textDirection w:val="tbRl"/>
          </w:tcPr>
          <w:p w14:paraId="3674A4A1"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33DC75E7" w14:textId="77777777" w:rsidR="00B6001E" w:rsidRDefault="00B6001E" w:rsidP="00B6001E">
            <w:pPr>
              <w:pStyle w:val="TableParagraph"/>
              <w:ind w:left="0"/>
              <w:rPr>
                <w:b/>
              </w:rPr>
            </w:pPr>
          </w:p>
        </w:tc>
        <w:tc>
          <w:tcPr>
            <w:tcW w:w="857" w:type="dxa"/>
            <w:vMerge/>
            <w:shd w:val="clear" w:color="auto" w:fill="D9F2D0" w:themeFill="accent6" w:themeFillTint="33"/>
          </w:tcPr>
          <w:p w14:paraId="2BA3E859" w14:textId="77777777" w:rsidR="00B6001E" w:rsidRDefault="00B6001E" w:rsidP="00B6001E">
            <w:pPr>
              <w:pStyle w:val="TableParagraph"/>
              <w:spacing w:before="16" w:line="264" w:lineRule="exact"/>
              <w:ind w:right="93"/>
              <w:jc w:val="center"/>
              <w:rPr>
                <w:b/>
              </w:rPr>
            </w:pPr>
          </w:p>
        </w:tc>
        <w:tc>
          <w:tcPr>
            <w:tcW w:w="11465" w:type="dxa"/>
            <w:vMerge/>
            <w:vAlign w:val="center"/>
          </w:tcPr>
          <w:p w14:paraId="4A157878" w14:textId="77777777" w:rsidR="00B6001E" w:rsidRPr="00270995" w:rsidRDefault="00B6001E" w:rsidP="00B6001E">
            <w:pPr>
              <w:pStyle w:val="TableParagraph"/>
              <w:spacing w:before="30"/>
              <w:ind w:left="108"/>
              <w:jc w:val="center"/>
              <w:rPr>
                <w:sz w:val="20"/>
              </w:rPr>
            </w:pPr>
          </w:p>
        </w:tc>
      </w:tr>
      <w:tr w:rsidR="00B6001E" w14:paraId="44BE8529" w14:textId="77777777" w:rsidTr="000D612F">
        <w:trPr>
          <w:trHeight w:val="384"/>
          <w:jc w:val="center"/>
        </w:trPr>
        <w:tc>
          <w:tcPr>
            <w:tcW w:w="1138" w:type="dxa"/>
            <w:vMerge/>
            <w:shd w:val="clear" w:color="auto" w:fill="8DD873" w:themeFill="accent6" w:themeFillTint="99"/>
            <w:textDirection w:val="tbRl"/>
          </w:tcPr>
          <w:p w14:paraId="18560AFC"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37F03545" w14:textId="77777777" w:rsidR="00B6001E" w:rsidRDefault="00B6001E" w:rsidP="00B6001E">
            <w:pPr>
              <w:pStyle w:val="TableParagraph"/>
              <w:ind w:left="0"/>
              <w:rPr>
                <w:b/>
              </w:rPr>
            </w:pPr>
          </w:p>
        </w:tc>
        <w:tc>
          <w:tcPr>
            <w:tcW w:w="857" w:type="dxa"/>
            <w:vMerge/>
            <w:shd w:val="clear" w:color="auto" w:fill="D9F2D0" w:themeFill="accent6" w:themeFillTint="33"/>
          </w:tcPr>
          <w:p w14:paraId="15387C19" w14:textId="77777777" w:rsidR="00B6001E" w:rsidRDefault="00B6001E" w:rsidP="00B6001E">
            <w:pPr>
              <w:pStyle w:val="TableParagraph"/>
              <w:spacing w:before="16" w:line="264" w:lineRule="exact"/>
              <w:ind w:right="93"/>
              <w:jc w:val="center"/>
              <w:rPr>
                <w:b/>
              </w:rPr>
            </w:pPr>
          </w:p>
        </w:tc>
        <w:tc>
          <w:tcPr>
            <w:tcW w:w="11465" w:type="dxa"/>
            <w:vMerge/>
            <w:vAlign w:val="center"/>
          </w:tcPr>
          <w:p w14:paraId="32FD915E" w14:textId="77777777" w:rsidR="00B6001E" w:rsidRPr="00270995" w:rsidRDefault="00B6001E" w:rsidP="00B6001E">
            <w:pPr>
              <w:pStyle w:val="TableParagraph"/>
              <w:spacing w:before="30"/>
              <w:ind w:left="108"/>
              <w:jc w:val="center"/>
              <w:rPr>
                <w:sz w:val="20"/>
              </w:rPr>
            </w:pPr>
          </w:p>
        </w:tc>
      </w:tr>
      <w:tr w:rsidR="00B6001E" w14:paraId="7F0BFAFA" w14:textId="77777777" w:rsidTr="000D612F">
        <w:trPr>
          <w:trHeight w:val="384"/>
          <w:jc w:val="center"/>
        </w:trPr>
        <w:tc>
          <w:tcPr>
            <w:tcW w:w="1138" w:type="dxa"/>
            <w:vMerge/>
            <w:shd w:val="clear" w:color="auto" w:fill="8DD873" w:themeFill="accent6" w:themeFillTint="99"/>
            <w:textDirection w:val="tbRl"/>
          </w:tcPr>
          <w:p w14:paraId="5C0750B5"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1FB00F4A" w14:textId="77777777" w:rsidR="00B6001E" w:rsidRDefault="00B6001E" w:rsidP="00B6001E">
            <w:pPr>
              <w:pStyle w:val="TableParagraph"/>
              <w:ind w:left="0"/>
              <w:rPr>
                <w:b/>
              </w:rPr>
            </w:pPr>
          </w:p>
        </w:tc>
        <w:tc>
          <w:tcPr>
            <w:tcW w:w="857" w:type="dxa"/>
            <w:vMerge/>
            <w:shd w:val="clear" w:color="auto" w:fill="D9F2D0" w:themeFill="accent6" w:themeFillTint="33"/>
          </w:tcPr>
          <w:p w14:paraId="40475410" w14:textId="77777777" w:rsidR="00B6001E" w:rsidRDefault="00B6001E" w:rsidP="00B6001E">
            <w:pPr>
              <w:pStyle w:val="TableParagraph"/>
              <w:spacing w:before="16" w:line="264" w:lineRule="exact"/>
              <w:ind w:right="93"/>
              <w:jc w:val="center"/>
              <w:rPr>
                <w:b/>
              </w:rPr>
            </w:pPr>
          </w:p>
        </w:tc>
        <w:tc>
          <w:tcPr>
            <w:tcW w:w="11465" w:type="dxa"/>
            <w:vMerge/>
            <w:vAlign w:val="center"/>
          </w:tcPr>
          <w:p w14:paraId="0B70BCE9" w14:textId="77777777" w:rsidR="00B6001E" w:rsidRPr="00270995" w:rsidRDefault="00B6001E" w:rsidP="00B6001E">
            <w:pPr>
              <w:pStyle w:val="TableParagraph"/>
              <w:spacing w:before="30"/>
              <w:ind w:left="108"/>
              <w:jc w:val="center"/>
              <w:rPr>
                <w:sz w:val="20"/>
              </w:rPr>
            </w:pPr>
          </w:p>
        </w:tc>
      </w:tr>
    </w:tbl>
    <w:p w14:paraId="6F0F6499" w14:textId="77777777" w:rsidR="00E160E0" w:rsidRDefault="00E160E0" w:rsidP="00E160E0">
      <w:pPr>
        <w:rPr>
          <w:lang w:bidi="ar-IQ"/>
        </w:rPr>
      </w:pPr>
    </w:p>
    <w:sectPr w:rsidR="00E160E0" w:rsidSect="00851314">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B"/>
    <w:rsid w:val="00015B85"/>
    <w:rsid w:val="0005685E"/>
    <w:rsid w:val="000D612F"/>
    <w:rsid w:val="00105D6E"/>
    <w:rsid w:val="00226902"/>
    <w:rsid w:val="00270995"/>
    <w:rsid w:val="0032198B"/>
    <w:rsid w:val="00363625"/>
    <w:rsid w:val="003722C4"/>
    <w:rsid w:val="00414A24"/>
    <w:rsid w:val="00463CDD"/>
    <w:rsid w:val="004C3362"/>
    <w:rsid w:val="005160DB"/>
    <w:rsid w:val="00693058"/>
    <w:rsid w:val="00851314"/>
    <w:rsid w:val="0085612B"/>
    <w:rsid w:val="00904C31"/>
    <w:rsid w:val="009759AB"/>
    <w:rsid w:val="009E34E7"/>
    <w:rsid w:val="00A51CDD"/>
    <w:rsid w:val="00A5438A"/>
    <w:rsid w:val="00AA5E24"/>
    <w:rsid w:val="00B6001E"/>
    <w:rsid w:val="00DA6B3F"/>
    <w:rsid w:val="00E155C4"/>
    <w:rsid w:val="00E160E0"/>
    <w:rsid w:val="00EC1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9D1"/>
  <w15:chartTrackingRefBased/>
  <w15:docId w15:val="{8CCA6F71-0CB6-40C4-B72C-03A0A75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E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160DB"/>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0DB"/>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60DB"/>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0DB"/>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60DB"/>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60DB"/>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60DB"/>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60DB"/>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60DB"/>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0DB"/>
    <w:rPr>
      <w:rFonts w:eastAsiaTheme="majorEastAsia" w:cstheme="majorBidi"/>
      <w:color w:val="272727" w:themeColor="text1" w:themeTint="D8"/>
    </w:rPr>
  </w:style>
  <w:style w:type="paragraph" w:styleId="Title">
    <w:name w:val="Title"/>
    <w:basedOn w:val="Normal"/>
    <w:next w:val="Normal"/>
    <w:link w:val="TitleChar"/>
    <w:uiPriority w:val="10"/>
    <w:qFormat/>
    <w:rsid w:val="005160DB"/>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6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0DB"/>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6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0DB"/>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60DB"/>
    <w:rPr>
      <w:i/>
      <w:iCs/>
      <w:color w:val="404040" w:themeColor="text1" w:themeTint="BF"/>
    </w:rPr>
  </w:style>
  <w:style w:type="paragraph" w:styleId="ListParagraph">
    <w:name w:val="List Paragraph"/>
    <w:basedOn w:val="Normal"/>
    <w:uiPriority w:val="34"/>
    <w:qFormat/>
    <w:rsid w:val="005160DB"/>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60DB"/>
    <w:rPr>
      <w:i/>
      <w:iCs/>
      <w:color w:val="0F4761" w:themeColor="accent1" w:themeShade="BF"/>
    </w:rPr>
  </w:style>
  <w:style w:type="paragraph" w:styleId="IntenseQuote">
    <w:name w:val="Intense Quote"/>
    <w:basedOn w:val="Normal"/>
    <w:next w:val="Normal"/>
    <w:link w:val="IntenseQuoteChar"/>
    <w:uiPriority w:val="30"/>
    <w:qFormat/>
    <w:rsid w:val="005160DB"/>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60DB"/>
    <w:rPr>
      <w:i/>
      <w:iCs/>
      <w:color w:val="0F4761" w:themeColor="accent1" w:themeShade="BF"/>
    </w:rPr>
  </w:style>
  <w:style w:type="character" w:styleId="IntenseReference">
    <w:name w:val="Intense Reference"/>
    <w:basedOn w:val="DefaultParagraphFont"/>
    <w:uiPriority w:val="32"/>
    <w:qFormat/>
    <w:rsid w:val="005160DB"/>
    <w:rPr>
      <w:b/>
      <w:bCs/>
      <w:smallCaps/>
      <w:color w:val="0F4761" w:themeColor="accent1" w:themeShade="BF"/>
      <w:spacing w:val="5"/>
    </w:rPr>
  </w:style>
  <w:style w:type="paragraph" w:customStyle="1" w:styleId="TableParagraph">
    <w:name w:val="Table Paragraph"/>
    <w:basedOn w:val="Normal"/>
    <w:uiPriority w:val="1"/>
    <w:qFormat/>
    <w:rsid w:val="00270995"/>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riyadh nuiaa</dc:creator>
  <cp:keywords/>
  <dc:description/>
  <cp:lastModifiedBy>Hamid</cp:lastModifiedBy>
  <cp:revision>12</cp:revision>
  <dcterms:created xsi:type="dcterms:W3CDTF">2024-03-14T19:38:00Z</dcterms:created>
  <dcterms:modified xsi:type="dcterms:W3CDTF">2024-03-26T19:16:00Z</dcterms:modified>
</cp:coreProperties>
</file>